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4479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Коми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образованием АМР "Корткеросский"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"СОШ" с. Нившера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56/310823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1586552)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с.Нившера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447924" w:id="5"/>
    <w:p>
      <w:pPr>
        <w:sectPr>
          <w:pgSz w:w="11906" w:h="16383" w:orient="portrait"/>
        </w:sectPr>
      </w:pPr>
    </w:p>
    <w:bookmarkEnd w:id="5"/>
    <w:bookmarkEnd w:id="0"/>
    <w:bookmarkStart w:name="block-1144792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17 часа (0,5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1447921" w:id="8"/>
    <w:p>
      <w:pPr>
        <w:sectPr>
          <w:pgSz w:w="11906" w:h="16383" w:orient="portrait"/>
        </w:sectPr>
      </w:pPr>
    </w:p>
    <w:bookmarkEnd w:id="8"/>
    <w:bookmarkEnd w:id="6"/>
    <w:bookmarkStart w:name="block-1144792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11447925" w:id="13"/>
    <w:p>
      <w:pPr>
        <w:sectPr>
          <w:pgSz w:w="11906" w:h="16383" w:orient="portrait"/>
        </w:sectPr>
      </w:pPr>
    </w:p>
    <w:bookmarkEnd w:id="13"/>
    <w:bookmarkEnd w:id="9"/>
    <w:bookmarkStart w:name="block-11447922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11447922" w:id="19"/>
    <w:p>
      <w:pPr>
        <w:sectPr>
          <w:pgSz w:w="11906" w:h="16383" w:orient="portrait"/>
        </w:sectPr>
      </w:pPr>
    </w:p>
    <w:bookmarkEnd w:id="19"/>
    <w:bookmarkEnd w:id="14"/>
    <w:bookmarkStart w:name="block-11447923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47923" w:id="21"/>
    <w:p>
      <w:pPr>
        <w:sectPr>
          <w:pgSz w:w="16383" w:h="11906" w:orient="landscape"/>
        </w:sectPr>
      </w:pPr>
    </w:p>
    <w:bookmarkEnd w:id="21"/>
    <w:bookmarkEnd w:id="20"/>
    <w:bookmarkStart w:name="block-11447926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02"/>
        <w:gridCol w:w="2320"/>
        <w:gridCol w:w="2504"/>
        <w:gridCol w:w="3717"/>
        <w:gridCol w:w="3751"/>
      </w:tblGrid>
      <w:tr>
        <w:trPr>
          <w:trHeight w:val="300" w:hRule="atLeast"/>
          <w:trHeight w:val="144" w:hRule="atLeast"/>
        </w:trPr>
        <w:tc>
          <w:tcPr>
            <w:tcW w:w="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250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5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0"/>
        <w:gridCol w:w="2400"/>
        <w:gridCol w:w="2484"/>
        <w:gridCol w:w="3692"/>
        <w:gridCol w:w="3728"/>
      </w:tblGrid>
      <w:tr>
        <w:trPr>
          <w:trHeight w:val="300" w:hRule="atLeast"/>
          <w:trHeight w:val="144" w:hRule="atLeast"/>
        </w:trPr>
        <w:tc>
          <w:tcPr>
            <w:tcW w:w="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95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87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05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72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21"/>
        <w:gridCol w:w="3520"/>
        <w:gridCol w:w="2190"/>
        <w:gridCol w:w="3352"/>
        <w:gridCol w:w="3411"/>
      </w:tblGrid>
      <w:tr>
        <w:trPr>
          <w:trHeight w:val="300" w:hRule="atLeast"/>
          <w:trHeight w:val="144" w:hRule="atLeast"/>
        </w:trPr>
        <w:tc>
          <w:tcPr>
            <w:tcW w:w="78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90"/>
        <w:gridCol w:w="2400"/>
        <w:gridCol w:w="2484"/>
        <w:gridCol w:w="3692"/>
        <w:gridCol w:w="3728"/>
      </w:tblGrid>
      <w:tr>
        <w:trPr>
          <w:trHeight w:val="300" w:hRule="atLeast"/>
          <w:trHeight w:val="144" w:hRule="atLeast"/>
        </w:trPr>
        <w:tc>
          <w:tcPr>
            <w:tcW w:w="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5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</w:tr>
    </w:tbl>
    <w:p>
      <w:pPr>
        <w:sectPr>
          <w:pgSz w:w="16383" w:h="11906" w:orient="landscape"/>
        </w:sectPr>
      </w:pPr>
    </w:p>
    <w:bookmarkStart w:name="block-11447926" w:id="23"/>
    <w:p>
      <w:pPr>
        <w:sectPr>
          <w:pgSz w:w="16383" w:h="11906" w:orient="landscape"/>
        </w:sectPr>
      </w:pPr>
    </w:p>
    <w:bookmarkEnd w:id="23"/>
    <w:bookmarkEnd w:id="22"/>
    <w:bookmarkStart w:name="block-11447927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2 класс/ Ашикова С.Г.; под редакцией Мелик-Пашаева А.А., Яковлевой С.Г.,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db50a40d-f8ae-4e5d-8e70-919f427dc0c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9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искусство. Методические рекомендации. 1–4</w:t>
      </w:r>
      <w:bookmarkEnd w:id="29"/>
      <w:r>
        <w:rPr>
          <w:sz w:val="28"/>
        </w:rPr>
        <w:br/>
      </w:r>
      <w:bookmarkStart w:name="27f88a84-cde6-45cc-9a12-309dd9b67dab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классы : учеб. пособие для общеобразоват. организаций, реализующих</w:t>
      </w:r>
      <w:bookmarkEnd w:id="30"/>
      <w:r>
        <w:rPr>
          <w:sz w:val="28"/>
        </w:rPr>
        <w:br/>
      </w:r>
      <w:bookmarkStart w:name="27f88a84-cde6-45cc-9a12-309dd9b67dab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адапт. основные общеобразоват. программы / [М. Ю. Рау, М. А.</w:t>
      </w:r>
      <w:bookmarkEnd w:id="31"/>
      <w:r>
        <w:rPr>
          <w:sz w:val="28"/>
        </w:rPr>
        <w:br/>
      </w:r>
      <w:bookmarkStart w:name="27f88a84-cde6-45cc-9a12-309dd9b67dab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Овчинникова, М. А. Зыкова, Т. А. Соловьева]. – М. : Просвещение,</w:t>
      </w:r>
      <w:bookmarkEnd w:id="32"/>
      <w:r>
        <w:rPr>
          <w:sz w:val="28"/>
        </w:rPr>
        <w:br/>
      </w:r>
      <w:bookmarkStart w:name="27f88a84-cde6-45cc-9a12-309dd9b67dab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2020. – 200 с.</w:t>
      </w:r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34"/>
      <w:r>
        <w:rPr>
          <w:rFonts w:ascii="Times New Roman" w:hAnsi="Times New Roman"/>
          <w:b w:val="false"/>
          <w:i w:val="false"/>
          <w:color w:val="000000"/>
          <w:sz w:val="28"/>
        </w:rPr>
        <w:t>http://fcior.edu.ru/ Федеральный Центр Информационно-образовательных ресурсов</w:t>
      </w:r>
      <w:bookmarkEnd w:id="34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 Единая коллекция цифровых образовательных ресурсов</w:t>
      </w:r>
      <w:bookmarkEnd w:id="35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https://urok.1sept.ru/ Фестиваль Педагогических Идей</w:t>
      </w:r>
      <w:bookmarkEnd w:id="36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http://www.muzped.net/ Российский центр Музейной педагогики и детского творчества</w:t>
      </w:r>
      <w:bookmarkEnd w:id="37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https://www.art-teachers.ru/ Союз педагогов-художников</w:t>
      </w:r>
      <w:bookmarkEnd w:id="38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https://demiart.ru/forum/ огромное количество уроков и прочего материала </w:t>
      </w:r>
      <w:bookmarkEnd w:id="3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447927" w:id="40"/>
    <w:p>
      <w:pPr>
        <w:sectPr>
          <w:pgSz w:w="11906" w:h="16383" w:orient="portrait"/>
        </w:sectPr>
      </w:pPr>
    </w:p>
    <w:bookmarkEnd w:id="40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